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D4540" w14:textId="0470B43A" w:rsidR="007208A9" w:rsidRDefault="00AF7EAF" w:rsidP="00A33AB1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CE6C8" wp14:editId="16E06059">
                <wp:simplePos x="0" y="0"/>
                <wp:positionH relativeFrom="column">
                  <wp:posOffset>2386509</wp:posOffset>
                </wp:positionH>
                <wp:positionV relativeFrom="paragraph">
                  <wp:posOffset>-594441</wp:posOffset>
                </wp:positionV>
                <wp:extent cx="3703320" cy="40233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9DD4" w14:textId="27B46724" w:rsidR="00676F98" w:rsidRPr="00A422C3" w:rsidRDefault="00492AC0" w:rsidP="00A422C3">
                            <w:pPr>
                              <w:pStyle w:val="mastheadtitle"/>
                            </w:pPr>
                            <w:r w:rsidRPr="00720368">
                              <w:rPr>
                                <w:rFonts w:ascii="Knockout 30 Junior Welterwt" w:hAnsi="Knockout 30 Junior Welterwt"/>
                              </w:rPr>
                              <w:t>evi</w:t>
                            </w:r>
                            <w:r w:rsidR="00F615CD" w:rsidRPr="00720368">
                              <w:rPr>
                                <w:rFonts w:ascii="Knockout 30 Junior Welterwt" w:hAnsi="Knockout 30 Junior Welterwt"/>
                              </w:rPr>
                              <w:t>dence2success</w:t>
                            </w:r>
                            <w:r w:rsidR="00DE2CE7" w:rsidRPr="00DE2CE7">
                              <w:drawing>
                                <wp:inline distT="0" distB="0" distL="0" distR="0" wp14:anchorId="4B75A019" wp14:editId="20E98CC0">
                                  <wp:extent cx="3514090" cy="38169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090" cy="381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CE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pt;margin-top:-46.8pt;width:291.6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" filled="f" stroked="f" strokeweight=".5pt">
                <v:textbox>
                  <w:txbxContent>
                    <w:p w14:paraId="706E9DD4" w14:textId="27B46724" w:rsidR="00676F98" w:rsidRPr="00A422C3" w:rsidRDefault="00492AC0" w:rsidP="00A422C3">
                      <w:pPr>
                        <w:pStyle w:val="mastheadtitle"/>
                      </w:pPr>
                      <w:r w:rsidRPr="00720368">
                        <w:rPr>
                          <w:rFonts w:ascii="Knockout 30 Junior Welterwt" w:hAnsi="Knockout 30 Junior Welterwt"/>
                        </w:rPr>
                        <w:t>evi</w:t>
                      </w:r>
                      <w:r w:rsidR="00F615CD" w:rsidRPr="00720368">
                        <w:rPr>
                          <w:rFonts w:ascii="Knockout 30 Junior Welterwt" w:hAnsi="Knockout 30 Junior Welterwt"/>
                        </w:rPr>
                        <w:t>dence2success</w:t>
                      </w:r>
                      <w:r w:rsidR="00DE2CE7" w:rsidRPr="00DE2CE7">
                        <w:drawing>
                          <wp:inline distT="0" distB="0" distL="0" distR="0" wp14:anchorId="4B75A019" wp14:editId="20E98CC0">
                            <wp:extent cx="3514090" cy="38169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090" cy="381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08A9">
        <w:rPr>
          <w:noProof/>
        </w:rPr>
        <w:drawing>
          <wp:anchor distT="0" distB="0" distL="114300" distR="114300" simplePos="0" relativeHeight="251660288" behindDoc="1" locked="1" layoutInCell="1" allowOverlap="1" wp14:anchorId="54FDA63A" wp14:editId="246C5D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688" cy="914683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 aec banner solid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914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670DB" w14:textId="77777777" w:rsidR="007208A9" w:rsidRPr="00A33AB1" w:rsidRDefault="008426CC" w:rsidP="00A33AB1">
      <w:pPr>
        <w:pStyle w:val="Heading1"/>
      </w:pPr>
      <w:r>
        <w:t>Worksheet: Collecting Public Data</w:t>
      </w:r>
    </w:p>
    <w:p w14:paraId="13045BC6" w14:textId="6007F778" w:rsidR="00BE7890" w:rsidRDefault="008D37BE" w:rsidP="0076562E">
      <w:pPr>
        <w:rPr>
          <w:color w:val="595959"/>
        </w:rPr>
      </w:pPr>
      <w:r>
        <w:rPr>
          <w:color w:val="595959"/>
        </w:rPr>
        <w:t xml:space="preserve">As you work to set priorities for action, you want the fullest picture possible of your community’s youth. </w:t>
      </w:r>
      <w:r w:rsidR="008426CC" w:rsidRPr="00257E42">
        <w:rPr>
          <w:color w:val="595959"/>
        </w:rPr>
        <w:t>Most of the data you need on outcomes, risk factors and protective factors for your communit</w:t>
      </w:r>
      <w:r w:rsidR="00257E42" w:rsidRPr="00257E42">
        <w:rPr>
          <w:color w:val="595959"/>
        </w:rPr>
        <w:t>y</w:t>
      </w:r>
      <w:r w:rsidR="008426CC" w:rsidRPr="00257E42">
        <w:rPr>
          <w:color w:val="595959"/>
        </w:rPr>
        <w:t xml:space="preserve">’s youth can be found </w:t>
      </w:r>
      <w:r w:rsidR="00AF1863">
        <w:rPr>
          <w:color w:val="595959"/>
        </w:rPr>
        <w:t>in data reports from the Youth E</w:t>
      </w:r>
      <w:r w:rsidR="008426CC" w:rsidRPr="00257E42">
        <w:rPr>
          <w:color w:val="595959"/>
        </w:rPr>
        <w:t xml:space="preserve">xperience Survey. </w:t>
      </w:r>
      <w:r>
        <w:rPr>
          <w:color w:val="595959"/>
        </w:rPr>
        <w:t xml:space="preserve">Surveys do not capture some information, however. Community board members may want other data as well. </w:t>
      </w:r>
      <w:r w:rsidR="008426CC" w:rsidRPr="00257E42">
        <w:rPr>
          <w:color w:val="595959"/>
        </w:rPr>
        <w:t>The indicators in this worksheet can be obtained from local public systems</w:t>
      </w:r>
      <w:r w:rsidR="003B54A6">
        <w:rPr>
          <w:color w:val="595959"/>
        </w:rPr>
        <w:t xml:space="preserve"> or publicly available data</w:t>
      </w:r>
      <w:r w:rsidR="008426CC" w:rsidRPr="00257E42">
        <w:rPr>
          <w:color w:val="595959"/>
        </w:rPr>
        <w:t xml:space="preserve">. Which indicators will best help you understand the environment your community’s youth are growing up in? Consider this question </w:t>
      </w:r>
      <w:r w:rsidR="00FA7E38">
        <w:rPr>
          <w:color w:val="595959"/>
        </w:rPr>
        <w:t xml:space="preserve">after you read the survey report and </w:t>
      </w:r>
      <w:r w:rsidR="008426CC" w:rsidRPr="00FA7E38">
        <w:rPr>
          <w:color w:val="595959"/>
        </w:rPr>
        <w:t>before</w:t>
      </w:r>
      <w:r w:rsidR="008426CC" w:rsidRPr="00257E42">
        <w:rPr>
          <w:color w:val="595959"/>
        </w:rPr>
        <w:t xml:space="preserve"> you start gathering data. </w:t>
      </w:r>
      <w:r w:rsidR="00257E42" w:rsidRPr="00257E42">
        <w:rPr>
          <w:color w:val="595959"/>
        </w:rPr>
        <w:t>Only look for data that will help you answer specific question</w:t>
      </w:r>
      <w:r w:rsidR="009716CE">
        <w:rPr>
          <w:color w:val="595959"/>
        </w:rPr>
        <w:t>s</w:t>
      </w:r>
      <w:r w:rsidR="00257E42" w:rsidRPr="00257E42">
        <w:rPr>
          <w:color w:val="595959"/>
        </w:rPr>
        <w:t>; otherwise, it’s easy to become overwhelmed by the amount of information you can find.</w:t>
      </w:r>
    </w:p>
    <w:p w14:paraId="29418915" w14:textId="77777777" w:rsidR="00FA7E38" w:rsidRDefault="00FA7E38" w:rsidP="0076562E">
      <w:pPr>
        <w:rPr>
          <w:color w:val="595959"/>
        </w:rPr>
      </w:pPr>
    </w:p>
    <w:p w14:paraId="5234AF6A" w14:textId="0E945B32" w:rsidR="00E945B9" w:rsidRDefault="009716CE" w:rsidP="00E945B9">
      <w:pPr>
        <w:rPr>
          <w:color w:val="595959"/>
        </w:rPr>
      </w:pPr>
      <w:r>
        <w:rPr>
          <w:color w:val="595959"/>
        </w:rPr>
        <w:t>This worksheet will help your workgroup decide which public data to collect and how to divide up the data collection responsibilities among your members.</w:t>
      </w:r>
      <w:r w:rsidR="00E945B9">
        <w:rPr>
          <w:color w:val="595959"/>
        </w:rPr>
        <w:t xml:space="preserve"> For setting priorities, we recommend choosing </w:t>
      </w:r>
      <w:r w:rsidR="008D1CF5">
        <w:rPr>
          <w:color w:val="595959"/>
        </w:rPr>
        <w:t xml:space="preserve">a maximum of </w:t>
      </w:r>
      <w:r w:rsidR="00E945B9">
        <w:rPr>
          <w:color w:val="595959"/>
        </w:rPr>
        <w:t>two to five indicators that you don’t al</w:t>
      </w:r>
      <w:r w:rsidR="001B53A2">
        <w:rPr>
          <w:color w:val="595959"/>
        </w:rPr>
        <w:t>ready have</w:t>
      </w:r>
      <w:r w:rsidR="00E945B9">
        <w:rPr>
          <w:color w:val="595959"/>
        </w:rPr>
        <w:t xml:space="preserve">. It may be useful to collect data on the other indicators as you track your site’s </w:t>
      </w:r>
      <w:r w:rsidR="001B53A2">
        <w:rPr>
          <w:color w:val="595959"/>
        </w:rPr>
        <w:t>progress through time</w:t>
      </w:r>
      <w:r w:rsidR="004B74E6">
        <w:rPr>
          <w:color w:val="595959"/>
        </w:rPr>
        <w:t xml:space="preserve"> </w:t>
      </w:r>
      <w:r w:rsidR="001B53A2">
        <w:rPr>
          <w:color w:val="595959"/>
        </w:rPr>
        <w:t>—</w:t>
      </w:r>
      <w:r w:rsidR="004B74E6">
        <w:rPr>
          <w:color w:val="595959"/>
        </w:rPr>
        <w:t xml:space="preserve"> </w:t>
      </w:r>
      <w:r w:rsidR="001B53A2">
        <w:rPr>
          <w:color w:val="595959"/>
        </w:rPr>
        <w:t>but choose additional indicators sparingly.</w:t>
      </w:r>
    </w:p>
    <w:p w14:paraId="4A3A459B" w14:textId="77777777" w:rsidR="009716CE" w:rsidRDefault="009716CE" w:rsidP="0076562E">
      <w:pPr>
        <w:rPr>
          <w:color w:val="595959"/>
        </w:rPr>
      </w:pPr>
    </w:p>
    <w:p w14:paraId="01541FC6" w14:textId="57140E51" w:rsidR="00A62D00" w:rsidRPr="00257E42" w:rsidRDefault="00A62D00" w:rsidP="0076562E">
      <w:pPr>
        <w:rPr>
          <w:color w:val="595959"/>
        </w:rPr>
      </w:pPr>
      <w:r>
        <w:rPr>
          <w:color w:val="595959"/>
        </w:rPr>
        <w:t xml:space="preserve">In addition to your local data sources, the Annie E. Casey Foundation’s KIDS COUNT Data Center is a </w:t>
      </w:r>
      <w:r w:rsidR="00D72451">
        <w:rPr>
          <w:color w:val="595959"/>
        </w:rPr>
        <w:t>useful</w:t>
      </w:r>
      <w:r>
        <w:rPr>
          <w:color w:val="595959"/>
        </w:rPr>
        <w:t xml:space="preserve"> resource. Some of these data, such as youth employment and </w:t>
      </w:r>
      <w:r w:rsidR="00D72451">
        <w:rPr>
          <w:color w:val="595959"/>
        </w:rPr>
        <w:t>free and reduced-price lunch eligibility</w:t>
      </w:r>
      <w:r>
        <w:rPr>
          <w:color w:val="595959"/>
        </w:rPr>
        <w:t>, m</w:t>
      </w:r>
      <w:r w:rsidR="00D72451">
        <w:rPr>
          <w:color w:val="595959"/>
        </w:rPr>
        <w:t>ay be available at a</w:t>
      </w:r>
      <w:r>
        <w:rPr>
          <w:color w:val="595959"/>
        </w:rPr>
        <w:t xml:space="preserve"> state or local level from KIDS COUNT</w:t>
      </w:r>
      <w:r w:rsidR="00D72451">
        <w:rPr>
          <w:color w:val="595959"/>
        </w:rPr>
        <w:t xml:space="preserve"> (</w:t>
      </w:r>
      <w:hyperlink r:id="rId7" w:history="1">
        <w:r w:rsidR="00D72451" w:rsidRPr="004B74E6">
          <w:rPr>
            <w:rStyle w:val="Hyperlink"/>
            <w:rFonts w:ascii="Arial" w:hAnsi="Arial"/>
            <w:sz w:val="19"/>
            <w:szCs w:val="19"/>
          </w:rPr>
          <w:t>http://datacenter.kidscount.org/</w:t>
        </w:r>
      </w:hyperlink>
      <w:r w:rsidR="00D72451">
        <w:rPr>
          <w:color w:val="595959"/>
        </w:rPr>
        <w:t>).</w:t>
      </w:r>
    </w:p>
    <w:p w14:paraId="388D2BD1" w14:textId="77777777" w:rsidR="00A422C3" w:rsidRPr="00257E42" w:rsidRDefault="00A422C3" w:rsidP="0076562E">
      <w:pPr>
        <w:rPr>
          <w:color w:val="595959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10"/>
        <w:gridCol w:w="2610"/>
        <w:gridCol w:w="1891"/>
      </w:tblGrid>
      <w:tr w:rsidR="00257E42" w:rsidRPr="00257E42" w14:paraId="70B083DB" w14:textId="77777777" w:rsidTr="00257E42">
        <w:trPr>
          <w:trHeight w:val="619"/>
          <w:tblHeader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8F8" w14:textId="77777777" w:rsidR="00257E42" w:rsidRPr="002B2B46" w:rsidRDefault="00257E42" w:rsidP="008D382B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 xml:space="preserve">Data </w:t>
            </w:r>
            <w:r w:rsidR="002B5583">
              <w:rPr>
                <w:rFonts w:eastAsia="ヒラギノ角ゴ Pro W3"/>
                <w:b/>
                <w:color w:val="595959"/>
              </w:rPr>
              <w:t xml:space="preserve">that might be </w:t>
            </w:r>
            <w:r w:rsidRPr="002B2B46">
              <w:rPr>
                <w:rFonts w:eastAsia="ヒラギノ角ゴ Pro W3"/>
                <w:b/>
                <w:color w:val="595959"/>
              </w:rPr>
              <w:t>needed</w:t>
            </w:r>
            <w:r w:rsidR="002B5583">
              <w:rPr>
                <w:rFonts w:eastAsia="ヒラギノ角ゴ Pro W3"/>
                <w:b/>
                <w:color w:val="595959"/>
              </w:rPr>
              <w:t xml:space="preserve"> for priority setting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95FB" w14:textId="77777777" w:rsidR="00257E42" w:rsidRPr="002B2B46" w:rsidRDefault="00257E42" w:rsidP="008D382B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>Indicator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8764" w14:textId="77777777" w:rsidR="00257E42" w:rsidRPr="002B2B46" w:rsidRDefault="00257E42" w:rsidP="008D382B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>Source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CC90" w14:textId="77777777" w:rsidR="00257E42" w:rsidRPr="002B2B46" w:rsidRDefault="00257E42" w:rsidP="008D382B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>Who collects</w:t>
            </w:r>
          </w:p>
        </w:tc>
      </w:tr>
      <w:tr w:rsidR="00257E42" w:rsidRPr="00257E42" w14:paraId="68CD2B5F" w14:textId="77777777" w:rsidTr="001B53A2">
        <w:trPr>
          <w:trHeight w:val="864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EBF56B4" w14:textId="77777777" w:rsidR="00257E42" w:rsidRPr="00257E42" w:rsidRDefault="00A907B6" w:rsidP="008D382B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>
              <w:rPr>
                <w:rFonts w:eastAsia="ヒラギノ角ゴ Pro W3"/>
                <w:b/>
                <w:color w:val="595959"/>
                <w:szCs w:val="20"/>
              </w:rPr>
              <w:t>Availability of Drugs and</w:t>
            </w:r>
            <w:r w:rsidR="00257E42" w:rsidRPr="00257E42">
              <w:rPr>
                <w:rFonts w:eastAsia="ヒラギノ角ゴ Pro W3"/>
                <w:b/>
                <w:color w:val="595959"/>
                <w:szCs w:val="20"/>
              </w:rPr>
              <w:t xml:space="preserve"> Alcohol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E11D4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Alcohol sales outlets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ED513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State Liquor Control Agency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0F252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643790E9" w14:textId="77777777" w:rsidTr="001B53A2">
        <w:trPr>
          <w:trHeight w:val="864"/>
          <w:jc w:val="center"/>
        </w:trPr>
        <w:tc>
          <w:tcPr>
            <w:tcW w:w="2160" w:type="dxa"/>
            <w:vMerge/>
            <w:shd w:val="clear" w:color="auto" w:fill="FFFFFF" w:themeFill="background1"/>
          </w:tcPr>
          <w:p w14:paraId="2205D7D2" w14:textId="77777777" w:rsidR="00257E42" w:rsidRPr="00257E42" w:rsidRDefault="00257E42" w:rsidP="00257E42">
            <w:pPr>
              <w:numPr>
                <w:ilvl w:val="0"/>
                <w:numId w:val="6"/>
              </w:numPr>
              <w:spacing w:before="80" w:after="320" w:line="288" w:lineRule="auto"/>
              <w:ind w:left="0" w:firstLine="0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53553E0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Tobacco sales outlets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DFA83D" w14:textId="50D27054" w:rsidR="00257E42" w:rsidRPr="00257E42" w:rsidRDefault="00257E42" w:rsidP="00077034">
            <w:pPr>
              <w:rPr>
                <w:color w:val="595959"/>
              </w:rPr>
            </w:pPr>
            <w:r w:rsidRPr="00257E42">
              <w:rPr>
                <w:color w:val="595959"/>
              </w:rPr>
              <w:t>State Dep</w:t>
            </w:r>
            <w:r w:rsidR="009A0506">
              <w:rPr>
                <w:color w:val="595959"/>
              </w:rPr>
              <w:t>artmen</w:t>
            </w:r>
            <w:r w:rsidRPr="00257E42">
              <w:rPr>
                <w:color w:val="595959"/>
              </w:rPr>
              <w:t>t of Revenue or Taxing Authority, or State Dep</w:t>
            </w:r>
            <w:r w:rsidR="009A0506">
              <w:rPr>
                <w:color w:val="595959"/>
              </w:rPr>
              <w:t>artmen</w:t>
            </w:r>
            <w:r w:rsidRPr="00257E42">
              <w:rPr>
                <w:color w:val="595959"/>
              </w:rPr>
              <w:t>t of Health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144633A2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75E6BC4F" w14:textId="77777777" w:rsidTr="001B53A2">
        <w:trPr>
          <w:trHeight w:val="864"/>
          <w:jc w:val="center"/>
        </w:trPr>
        <w:tc>
          <w:tcPr>
            <w:tcW w:w="2160" w:type="dxa"/>
            <w:vMerge/>
            <w:shd w:val="clear" w:color="auto" w:fill="FFFFFF" w:themeFill="background1"/>
          </w:tcPr>
          <w:p w14:paraId="42BF2A4A" w14:textId="77777777" w:rsidR="00257E42" w:rsidRPr="00257E42" w:rsidRDefault="00257E42" w:rsidP="00257E42">
            <w:pPr>
              <w:numPr>
                <w:ilvl w:val="0"/>
                <w:numId w:val="6"/>
              </w:numPr>
              <w:spacing w:before="80" w:after="320" w:line="288" w:lineRule="auto"/>
              <w:ind w:left="0" w:firstLine="0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AC62516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Marijuana sales outlets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E898C6A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one of the above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DDCAD07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5A0EB3C5" w14:textId="77777777" w:rsidTr="001B53A2">
        <w:trPr>
          <w:trHeight w:val="864"/>
          <w:jc w:val="center"/>
        </w:trPr>
        <w:tc>
          <w:tcPr>
            <w:tcW w:w="2160" w:type="dxa"/>
            <w:vMerge w:val="restart"/>
            <w:shd w:val="clear" w:color="auto" w:fill="FFFFFF" w:themeFill="background1"/>
          </w:tcPr>
          <w:p w14:paraId="2FD30994" w14:textId="77777777" w:rsidR="00257E42" w:rsidRPr="00257E42" w:rsidRDefault="00257E42" w:rsidP="008D382B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 w:rsidRPr="00257E42">
              <w:rPr>
                <w:rFonts w:eastAsia="ヒラギノ角ゴ Pro W3"/>
                <w:b/>
                <w:color w:val="595959"/>
                <w:szCs w:val="20"/>
              </w:rPr>
              <w:t>Economic Deprivation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233560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Unemployment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C39013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State Employment and Labor Agency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47AE777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42FD40CB" w14:textId="77777777" w:rsidTr="001B53A2">
        <w:trPr>
          <w:trHeight w:val="998"/>
          <w:jc w:val="center"/>
        </w:trPr>
        <w:tc>
          <w:tcPr>
            <w:tcW w:w="2160" w:type="dxa"/>
            <w:vMerge/>
            <w:shd w:val="clear" w:color="auto" w:fill="FFFFFF" w:themeFill="background1"/>
          </w:tcPr>
          <w:p w14:paraId="011369DB" w14:textId="77777777" w:rsidR="00257E42" w:rsidRPr="00257E42" w:rsidRDefault="00257E42" w:rsidP="00257E42">
            <w:pPr>
              <w:numPr>
                <w:ilvl w:val="0"/>
                <w:numId w:val="6"/>
              </w:numPr>
              <w:spacing w:before="80" w:after="320" w:line="288" w:lineRule="auto"/>
              <w:ind w:left="0" w:firstLine="0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0D0AF81" w14:textId="77777777" w:rsidR="00257E42" w:rsidRPr="00257E42" w:rsidRDefault="00257E42" w:rsidP="00A907B6">
            <w:pPr>
              <w:rPr>
                <w:color w:val="595959"/>
              </w:rPr>
            </w:pPr>
            <w:r w:rsidRPr="00257E42">
              <w:rPr>
                <w:color w:val="595959"/>
              </w:rPr>
              <w:t xml:space="preserve">Free </w:t>
            </w:r>
            <w:r w:rsidR="00A907B6">
              <w:rPr>
                <w:color w:val="595959"/>
              </w:rPr>
              <w:t>and</w:t>
            </w:r>
            <w:r w:rsidRPr="00257E42">
              <w:rPr>
                <w:color w:val="595959"/>
              </w:rPr>
              <w:t xml:space="preserve"> reduced</w:t>
            </w:r>
            <w:r w:rsidR="00A907B6">
              <w:rPr>
                <w:color w:val="595959"/>
              </w:rPr>
              <w:t>-price</w:t>
            </w:r>
            <w:r w:rsidRPr="00257E42">
              <w:rPr>
                <w:color w:val="595959"/>
              </w:rPr>
              <w:t xml:space="preserve"> school lunch eligibility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0E9C381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School District or State Education Agency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2FDF06C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16C2AAF6" w14:textId="77777777" w:rsidTr="001B53A2">
        <w:trPr>
          <w:trHeight w:val="864"/>
          <w:jc w:val="center"/>
        </w:trPr>
        <w:tc>
          <w:tcPr>
            <w:tcW w:w="2160" w:type="dxa"/>
            <w:vMerge/>
            <w:shd w:val="clear" w:color="auto" w:fill="FFFFFF" w:themeFill="background1"/>
          </w:tcPr>
          <w:p w14:paraId="08AB7242" w14:textId="77777777" w:rsidR="00257E42" w:rsidRPr="00257E42" w:rsidRDefault="00257E42" w:rsidP="00257E42">
            <w:pPr>
              <w:numPr>
                <w:ilvl w:val="0"/>
                <w:numId w:val="6"/>
              </w:numPr>
              <w:spacing w:before="80" w:after="320" w:line="288" w:lineRule="auto"/>
              <w:ind w:left="0" w:firstLine="0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44AFE88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AFDC/TANF recipients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C1375DB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State Department of Human Services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19D3337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719D8C42" w14:textId="77777777" w:rsidTr="001B53A2">
        <w:trPr>
          <w:trHeight w:val="737"/>
          <w:jc w:val="center"/>
        </w:trPr>
        <w:tc>
          <w:tcPr>
            <w:tcW w:w="2160" w:type="dxa"/>
            <w:vMerge/>
            <w:shd w:val="clear" w:color="auto" w:fill="FFFFFF" w:themeFill="background1"/>
          </w:tcPr>
          <w:p w14:paraId="45255B03" w14:textId="77777777" w:rsidR="00257E42" w:rsidRPr="00257E42" w:rsidRDefault="00257E42" w:rsidP="00257E42">
            <w:pPr>
              <w:numPr>
                <w:ilvl w:val="0"/>
                <w:numId w:val="6"/>
              </w:numPr>
              <w:spacing w:before="80" w:after="320" w:line="288" w:lineRule="auto"/>
              <w:ind w:left="0" w:firstLine="0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45214C0B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Food stamp recipients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96F268D" w14:textId="77777777" w:rsidR="00257E42" w:rsidRPr="00257E42" w:rsidRDefault="00257E42" w:rsidP="008D382B">
            <w:pPr>
              <w:rPr>
                <w:color w:val="595959"/>
              </w:rPr>
            </w:pPr>
            <w:r w:rsidRPr="00257E42">
              <w:rPr>
                <w:color w:val="595959"/>
              </w:rPr>
              <w:t>State Department of Human Services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826BFEC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2BB2682B" w14:textId="77777777" w:rsidTr="001B53A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41AC3C7" w14:textId="77777777" w:rsidR="00257E42" w:rsidRPr="00257E42" w:rsidRDefault="00257E42" w:rsidP="002B2B46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 w:rsidRPr="00257E42">
              <w:rPr>
                <w:rFonts w:eastAsia="ヒラギノ角ゴ Pro W3"/>
                <w:b/>
                <w:color w:val="595959"/>
                <w:szCs w:val="20"/>
              </w:rPr>
              <w:t>School Dropout</w:t>
            </w:r>
            <w:r w:rsidR="002B2B46">
              <w:rPr>
                <w:rFonts w:eastAsia="ヒラギノ角ゴ Pro W3"/>
                <w:b/>
                <w:color w:val="595959"/>
                <w:szCs w:val="20"/>
              </w:rPr>
              <w:t xml:space="preserve"> or Truancy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57040" w14:textId="6D8FFEA3" w:rsidR="00257E42" w:rsidRPr="00257E42" w:rsidRDefault="00A907B6" w:rsidP="00A907B6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Percentage</w:t>
            </w:r>
            <w:r w:rsidR="00257E42" w:rsidRPr="00257E42">
              <w:rPr>
                <w:rFonts w:eastAsia="Times New Roman"/>
                <w:color w:val="595959"/>
                <w:lang w:bidi="en-US"/>
              </w:rPr>
              <w:t xml:space="preserve"> of students (grades 9</w:t>
            </w:r>
            <w:r>
              <w:rPr>
                <w:rFonts w:eastAsia="Times New Roman"/>
                <w:color w:val="595959"/>
                <w:lang w:bidi="en-US"/>
              </w:rPr>
              <w:t>–</w:t>
            </w:r>
            <w:r w:rsidR="00257E42" w:rsidRPr="00257E42">
              <w:rPr>
                <w:rFonts w:eastAsia="Times New Roman"/>
                <w:color w:val="595959"/>
                <w:lang w:bidi="en-US"/>
              </w:rPr>
              <w:t>12) who drop out in a single year without completing high school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0219E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66020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903769" w:rsidRPr="00257E42" w14:paraId="21E66B69" w14:textId="77777777" w:rsidTr="00257E4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6530A77" w14:textId="77777777" w:rsidR="00903769" w:rsidRPr="00257E42" w:rsidRDefault="00903769" w:rsidP="002B2B46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5770E" w14:textId="48289DB0" w:rsidR="00903769" w:rsidRDefault="00903769" w:rsidP="00A66862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Absenteeism or attendance</w:t>
            </w:r>
            <w:r w:rsidR="004679CC">
              <w:rPr>
                <w:rFonts w:eastAsia="Times New Roman"/>
                <w:color w:val="595959"/>
                <w:lang w:bidi="en-US"/>
              </w:rPr>
              <w:t xml:space="preserve"> (grades 6–12)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4FCB" w14:textId="77777777" w:rsidR="00903769" w:rsidRPr="00257E42" w:rsidRDefault="00A66862" w:rsidP="008D382B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2F464" w14:textId="77777777" w:rsidR="00903769" w:rsidRPr="00257E42" w:rsidRDefault="00903769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3EFB263F" w14:textId="77777777" w:rsidTr="00257E4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FB34EC6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1BB2D" w14:textId="77777777" w:rsidR="004679CC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Truancy rates (grades 6–12)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67E7F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F9D1C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262C7902" w14:textId="77777777" w:rsidTr="00257E4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3F70804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B6614" w14:textId="77777777" w:rsidR="004679CC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Suspension and expulsion rates and reasons for suspension/expulsion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80B4C" w14:textId="77777777" w:rsidR="004679CC" w:rsidRPr="00257E42" w:rsidRDefault="00A66862" w:rsidP="004679CC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62A2A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60E8C865" w14:textId="77777777" w:rsidTr="00257E4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32AFCFF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901C" w14:textId="77777777" w:rsidR="004679CC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High school graduation rates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D7B54" w14:textId="77777777" w:rsidR="004679CC" w:rsidRPr="00257E42" w:rsidRDefault="00A66862" w:rsidP="004679CC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13AC8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1C4AC0AB" w14:textId="77777777" w:rsidTr="00257E4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D5CBE4E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D9A97" w14:textId="77777777" w:rsidR="004679CC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Grade retention rates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06E0C" w14:textId="77777777" w:rsidR="004679CC" w:rsidRPr="00257E42" w:rsidRDefault="00A66862" w:rsidP="004679CC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A7801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186BD9ED" w14:textId="77777777" w:rsidTr="00257E4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ACE0ECC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AAE88" w14:textId="77777777" w:rsidR="004679CC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Test scores or GPA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66C26" w14:textId="77777777" w:rsidR="004679CC" w:rsidRPr="00257E42" w:rsidRDefault="00A66862" w:rsidP="004679CC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FD85A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39F2E982" w14:textId="77777777" w:rsidTr="00257E42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C941BC8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ABAD2" w14:textId="77777777" w:rsidR="004679CC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Special education placement rates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EB2C" w14:textId="77777777" w:rsidR="004679CC" w:rsidRPr="00257E42" w:rsidRDefault="00A66862" w:rsidP="004679CC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School District or State Education Agency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3CB81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57CB91E2" w14:textId="77777777" w:rsidTr="001B53A2">
        <w:trPr>
          <w:trHeight w:val="864"/>
          <w:jc w:val="center"/>
        </w:trPr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F4EB4E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>
              <w:rPr>
                <w:rFonts w:eastAsia="ヒラギノ角ゴ Pro W3"/>
                <w:b/>
                <w:color w:val="595959"/>
                <w:szCs w:val="20"/>
              </w:rPr>
              <w:t>Infant and Child Health</w:t>
            </w:r>
            <w:r w:rsidR="00A66862">
              <w:rPr>
                <w:rFonts w:eastAsia="ヒラギノ角ゴ Pro W3"/>
                <w:b/>
                <w:color w:val="595959"/>
                <w:szCs w:val="20"/>
              </w:rPr>
              <w:t xml:space="preserve"> and Teen Pregnancy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F3E953" w14:textId="342C1A36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 w:rsidRPr="004679CC">
              <w:rPr>
                <w:rFonts w:eastAsia="ヒラギノ角ゴ Pro W3"/>
                <w:color w:val="595959"/>
                <w:szCs w:val="20"/>
              </w:rPr>
              <w:t xml:space="preserve">Teen </w:t>
            </w:r>
            <w:r w:rsidR="00DB3E11">
              <w:rPr>
                <w:rFonts w:eastAsia="ヒラギノ角ゴ Pro W3"/>
                <w:color w:val="595959"/>
                <w:szCs w:val="20"/>
              </w:rPr>
              <w:t>p</w:t>
            </w:r>
            <w:r w:rsidRPr="004679CC">
              <w:rPr>
                <w:rFonts w:eastAsia="ヒラギノ角ゴ Pro W3"/>
                <w:color w:val="595959"/>
                <w:szCs w:val="20"/>
              </w:rPr>
              <w:t>regnancy</w:t>
            </w:r>
            <w:r w:rsidRPr="004679CC">
              <w:rPr>
                <w:rFonts w:eastAsia="Times New Roman"/>
                <w:color w:val="595959"/>
                <w:lang w:bidi="en-US"/>
              </w:rPr>
              <w:t xml:space="preserve"> </w:t>
            </w:r>
            <w:r w:rsidRPr="00257E42">
              <w:rPr>
                <w:rFonts w:eastAsia="Times New Roman"/>
                <w:color w:val="595959"/>
                <w:lang w:bidi="en-US"/>
              </w:rPr>
              <w:t>rate per 1,000 women ages 15</w:t>
            </w:r>
            <w:r>
              <w:rPr>
                <w:rFonts w:eastAsia="Times New Roman"/>
                <w:color w:val="595959"/>
                <w:lang w:bidi="en-US"/>
              </w:rPr>
              <w:t>–</w:t>
            </w:r>
            <w:r w:rsidRPr="00257E42">
              <w:rPr>
                <w:rFonts w:eastAsia="Times New Roman"/>
                <w:color w:val="595959"/>
                <w:lang w:bidi="en-US"/>
              </w:rPr>
              <w:t>19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4AF4C2" w14:textId="1AF65F56" w:rsidR="004679CC" w:rsidRPr="00257E42" w:rsidRDefault="004679CC" w:rsidP="00DB3E11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County or State Dep</w:t>
            </w:r>
            <w:r w:rsidR="00DB3E11">
              <w:rPr>
                <w:rFonts w:eastAsia="Times New Roman"/>
                <w:color w:val="595959"/>
                <w:lang w:bidi="en-US"/>
              </w:rPr>
              <w:t>ar</w:t>
            </w:r>
            <w:r w:rsidRPr="00257E42">
              <w:rPr>
                <w:rFonts w:eastAsia="Times New Roman"/>
                <w:color w:val="595959"/>
                <w:lang w:bidi="en-US"/>
              </w:rPr>
              <w:t>t</w:t>
            </w:r>
            <w:r w:rsidR="00DB3E11">
              <w:rPr>
                <w:rFonts w:eastAsia="Times New Roman"/>
                <w:color w:val="595959"/>
                <w:lang w:bidi="en-US"/>
              </w:rPr>
              <w:t>ment</w:t>
            </w:r>
            <w:r w:rsidRPr="00257E42">
              <w:rPr>
                <w:rFonts w:eastAsia="Times New Roman"/>
                <w:color w:val="595959"/>
                <w:lang w:bidi="en-US"/>
              </w:rPr>
              <w:t xml:space="preserve"> of Health or Public Health</w:t>
            </w: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9CADFD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748D2D78" w14:textId="77777777" w:rsidTr="004679CC">
        <w:trPr>
          <w:trHeight w:val="864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762D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A657A" w14:textId="78B43849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Low birthweight rates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3DDF2" w14:textId="34E044C0" w:rsidR="004679CC" w:rsidRPr="00257E42" w:rsidRDefault="00A66862" w:rsidP="00DB3E11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County or State Dep</w:t>
            </w:r>
            <w:r w:rsidR="00DB3E11">
              <w:rPr>
                <w:rFonts w:eastAsia="Times New Roman"/>
                <w:color w:val="595959"/>
                <w:lang w:bidi="en-US"/>
              </w:rPr>
              <w:t>artment</w:t>
            </w:r>
            <w:r w:rsidRPr="00257E42">
              <w:rPr>
                <w:rFonts w:eastAsia="Times New Roman"/>
                <w:color w:val="595959"/>
                <w:lang w:bidi="en-US"/>
              </w:rPr>
              <w:t xml:space="preserve"> of Health or Public Health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68AF1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5D951914" w14:textId="77777777" w:rsidTr="004679CC">
        <w:trPr>
          <w:trHeight w:val="864"/>
          <w:jc w:val="center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6716406A" w14:textId="77777777" w:rsidR="004679CC" w:rsidRPr="00257E42" w:rsidRDefault="004679CC" w:rsidP="004679CC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20B08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Infant mortality rates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E1AA8" w14:textId="7A170EA9" w:rsidR="004679CC" w:rsidRPr="00257E42" w:rsidRDefault="00A66862" w:rsidP="00D72451">
            <w:pPr>
              <w:rPr>
                <w:rFonts w:eastAsia="Times New Roman"/>
                <w:color w:val="595959"/>
                <w:lang w:bidi="en-US"/>
              </w:rPr>
            </w:pPr>
            <w:r w:rsidRPr="00257E42">
              <w:rPr>
                <w:rFonts w:eastAsia="Times New Roman"/>
                <w:color w:val="595959"/>
                <w:lang w:bidi="en-US"/>
              </w:rPr>
              <w:t>County or State Dep</w:t>
            </w:r>
            <w:r w:rsidR="00DB3E11">
              <w:rPr>
                <w:rFonts w:eastAsia="Times New Roman"/>
                <w:color w:val="595959"/>
                <w:lang w:bidi="en-US"/>
              </w:rPr>
              <w:t>artment</w:t>
            </w:r>
            <w:r w:rsidRPr="00257E42">
              <w:rPr>
                <w:rFonts w:eastAsia="Times New Roman"/>
                <w:color w:val="595959"/>
                <w:lang w:bidi="en-US"/>
              </w:rPr>
              <w:t xml:space="preserve"> of Health or Public Health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17653" w14:textId="77777777" w:rsidR="004679CC" w:rsidRPr="00257E42" w:rsidRDefault="004679CC" w:rsidP="004679CC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</w:tbl>
    <w:p w14:paraId="3BF006AF" w14:textId="77777777" w:rsidR="000A0614" w:rsidRPr="000A0614" w:rsidRDefault="000A0614" w:rsidP="0076562E">
      <w:pPr>
        <w:rPr>
          <w:color w:val="595959"/>
        </w:rPr>
      </w:pPr>
    </w:p>
    <w:p w14:paraId="023D2911" w14:textId="77777777" w:rsidR="00257E42" w:rsidRPr="000A0614" w:rsidRDefault="00257E42" w:rsidP="0076562E">
      <w:pPr>
        <w:rPr>
          <w:i/>
          <w:color w:val="595959"/>
        </w:rPr>
      </w:pPr>
      <w:r w:rsidRPr="000A0614">
        <w:rPr>
          <w:i/>
          <w:color w:val="595959"/>
        </w:rPr>
        <w:t xml:space="preserve">Other data that </w:t>
      </w:r>
      <w:r w:rsidR="002B5583">
        <w:rPr>
          <w:i/>
          <w:color w:val="595959"/>
        </w:rPr>
        <w:t xml:space="preserve">public systems </w:t>
      </w:r>
      <w:r w:rsidRPr="000A0614">
        <w:rPr>
          <w:i/>
          <w:color w:val="595959"/>
        </w:rPr>
        <w:t xml:space="preserve">might </w:t>
      </w:r>
      <w:r w:rsidR="002B5583">
        <w:rPr>
          <w:i/>
          <w:color w:val="595959"/>
        </w:rPr>
        <w:t>find</w:t>
      </w:r>
      <w:r w:rsidRPr="000A0614">
        <w:rPr>
          <w:i/>
          <w:color w:val="595959"/>
        </w:rPr>
        <w:t xml:space="preserve"> useful</w:t>
      </w:r>
      <w:r w:rsidR="002B5583">
        <w:rPr>
          <w:i/>
          <w:color w:val="595959"/>
        </w:rPr>
        <w:t xml:space="preserve"> for setting priorities or tracking progress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610"/>
        <w:gridCol w:w="2610"/>
        <w:gridCol w:w="1891"/>
      </w:tblGrid>
      <w:tr w:rsidR="00257E42" w:rsidRPr="00257E42" w14:paraId="0F0BD206" w14:textId="77777777" w:rsidTr="00257E42">
        <w:trPr>
          <w:trHeight w:val="619"/>
          <w:tblHeader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B35" w14:textId="77777777" w:rsidR="00257E42" w:rsidRPr="002B2B46" w:rsidRDefault="00257E42" w:rsidP="002B2B46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 xml:space="preserve">Data </w:t>
            </w:r>
            <w:r w:rsidR="002B2B46">
              <w:rPr>
                <w:rFonts w:eastAsia="ヒラギノ角ゴ Pro W3"/>
                <w:b/>
                <w:color w:val="595959"/>
              </w:rPr>
              <w:t>to locate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BCA3" w14:textId="77777777" w:rsidR="00257E42" w:rsidRPr="002B2B46" w:rsidRDefault="00257E42" w:rsidP="008D382B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>Indicator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97D9" w14:textId="77777777" w:rsidR="00257E42" w:rsidRPr="002B2B46" w:rsidRDefault="00257E42" w:rsidP="008D382B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>Source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497C" w14:textId="77777777" w:rsidR="00257E42" w:rsidRPr="002B2B46" w:rsidRDefault="00257E42" w:rsidP="008D382B">
            <w:pPr>
              <w:jc w:val="center"/>
              <w:rPr>
                <w:rFonts w:eastAsia="ヒラギノ角ゴ Pro W3"/>
                <w:b/>
                <w:color w:val="595959"/>
              </w:rPr>
            </w:pPr>
            <w:r w:rsidRPr="002B2B46">
              <w:rPr>
                <w:rFonts w:eastAsia="ヒラギノ角ゴ Pro W3"/>
                <w:b/>
                <w:color w:val="595959"/>
              </w:rPr>
              <w:t>Who collects</w:t>
            </w:r>
          </w:p>
        </w:tc>
      </w:tr>
      <w:tr w:rsidR="004679CC" w:rsidRPr="00257E42" w14:paraId="3D3BF191" w14:textId="77777777" w:rsidTr="001F7EB1">
        <w:trPr>
          <w:trHeight w:val="864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84D797" w14:textId="77777777" w:rsidR="004679CC" w:rsidRPr="00257E42" w:rsidRDefault="004679CC" w:rsidP="001F7EB1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>
              <w:rPr>
                <w:rFonts w:eastAsia="ヒラギノ角ゴ Pro W3"/>
                <w:b/>
                <w:color w:val="595959"/>
                <w:szCs w:val="20"/>
              </w:rPr>
              <w:t>Involvement with Child Welfare System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FAA87" w14:textId="77777777" w:rsidR="004679CC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Congregate care and foster care use by community:</w:t>
            </w:r>
          </w:p>
          <w:p w14:paraId="4D4DBB62" w14:textId="77777777" w:rsidR="004679CC" w:rsidRPr="000A0614" w:rsidRDefault="004679CC" w:rsidP="000A061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595959"/>
                <w:lang w:bidi="en-US"/>
              </w:rPr>
            </w:pPr>
            <w:r w:rsidRPr="000A0614">
              <w:rPr>
                <w:rFonts w:eastAsia="Times New Roman"/>
                <w:color w:val="595959"/>
                <w:lang w:bidi="en-US"/>
              </w:rPr>
              <w:t>Number of placements</w:t>
            </w:r>
          </w:p>
          <w:p w14:paraId="3A1A7D3D" w14:textId="77777777" w:rsidR="004679CC" w:rsidRPr="000A0614" w:rsidRDefault="004679CC" w:rsidP="000A061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595959"/>
                <w:lang w:bidi="en-US"/>
              </w:rPr>
            </w:pPr>
            <w:r w:rsidRPr="000A0614">
              <w:rPr>
                <w:rFonts w:eastAsia="Times New Roman"/>
                <w:color w:val="595959"/>
                <w:lang w:bidi="en-US"/>
              </w:rPr>
              <w:t>Average age</w:t>
            </w:r>
          </w:p>
          <w:p w14:paraId="25435073" w14:textId="77777777" w:rsidR="004679CC" w:rsidRPr="000A0614" w:rsidRDefault="004679CC" w:rsidP="000A0614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595959"/>
                <w:lang w:bidi="en-US"/>
              </w:rPr>
            </w:pPr>
            <w:r w:rsidRPr="000A0614">
              <w:rPr>
                <w:rFonts w:eastAsia="Times New Roman"/>
                <w:color w:val="595959"/>
                <w:lang w:bidi="en-US"/>
              </w:rPr>
              <w:t>Average length of time in care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2039A" w14:textId="619A683F" w:rsidR="004679CC" w:rsidRPr="00257E42" w:rsidRDefault="004679CC" w:rsidP="000A0614">
            <w:pPr>
              <w:rPr>
                <w:color w:val="595959"/>
              </w:rPr>
            </w:pPr>
            <w:r w:rsidRPr="00257E42">
              <w:rPr>
                <w:color w:val="595959"/>
              </w:rPr>
              <w:t xml:space="preserve">State </w:t>
            </w:r>
            <w:r>
              <w:rPr>
                <w:color w:val="595959"/>
              </w:rPr>
              <w:t>or County Child Welfare Dep</w:t>
            </w:r>
            <w:r w:rsidR="00FF65D5">
              <w:rPr>
                <w:color w:val="595959"/>
              </w:rPr>
              <w:t>artment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0EACA" w14:textId="77777777" w:rsidR="004679CC" w:rsidRPr="00257E42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661C5A47" w14:textId="77777777" w:rsidTr="008D382B">
        <w:trPr>
          <w:trHeight w:val="864"/>
          <w:jc w:val="center"/>
        </w:trPr>
        <w:tc>
          <w:tcPr>
            <w:tcW w:w="2160" w:type="dxa"/>
            <w:vMerge/>
            <w:shd w:val="clear" w:color="auto" w:fill="auto"/>
          </w:tcPr>
          <w:p w14:paraId="3FAF2BA1" w14:textId="77777777" w:rsidR="004679CC" w:rsidRPr="00257E42" w:rsidRDefault="004679CC" w:rsidP="008D382B">
            <w:pPr>
              <w:numPr>
                <w:ilvl w:val="0"/>
                <w:numId w:val="6"/>
              </w:numPr>
              <w:spacing w:before="80" w:after="320" w:line="288" w:lineRule="auto"/>
              <w:ind w:left="0" w:firstLine="0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E29A52B" w14:textId="77777777" w:rsidR="004679CC" w:rsidRPr="00257E42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 xml:space="preserve">Referrals to Child Protective Services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EB228C1" w14:textId="7B9E26A7" w:rsidR="004679CC" w:rsidRPr="00257E42" w:rsidRDefault="004679CC" w:rsidP="00FF65D5">
            <w:pPr>
              <w:rPr>
                <w:color w:val="595959"/>
              </w:rPr>
            </w:pPr>
            <w:r w:rsidRPr="00257E42">
              <w:rPr>
                <w:color w:val="595959"/>
              </w:rPr>
              <w:t xml:space="preserve">State </w:t>
            </w:r>
            <w:r>
              <w:rPr>
                <w:color w:val="595959"/>
              </w:rPr>
              <w:t>or County Child Welfare Dep</w:t>
            </w:r>
            <w:r w:rsidR="00FF65D5">
              <w:rPr>
                <w:color w:val="595959"/>
              </w:rPr>
              <w:t>artment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73D24E8D" w14:textId="77777777" w:rsidR="004679CC" w:rsidRPr="00257E42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305E950C" w14:textId="77777777" w:rsidTr="008D382B">
        <w:trPr>
          <w:trHeight w:val="864"/>
          <w:jc w:val="center"/>
        </w:trPr>
        <w:tc>
          <w:tcPr>
            <w:tcW w:w="2160" w:type="dxa"/>
            <w:vMerge/>
            <w:shd w:val="clear" w:color="auto" w:fill="auto"/>
          </w:tcPr>
          <w:p w14:paraId="68C034BA" w14:textId="77777777" w:rsidR="004679CC" w:rsidRPr="00257E42" w:rsidRDefault="004679CC" w:rsidP="008D382B">
            <w:pPr>
              <w:numPr>
                <w:ilvl w:val="0"/>
                <w:numId w:val="6"/>
              </w:numPr>
              <w:spacing w:before="80" w:after="320" w:line="288" w:lineRule="auto"/>
              <w:ind w:left="0" w:firstLine="0"/>
              <w:rPr>
                <w:rFonts w:eastAsia="ヒラギノ角ゴ Pro W3"/>
                <w:b/>
                <w:color w:val="595959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0B3A2BB" w14:textId="77777777" w:rsidR="004679CC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Reported and substantiated rates of abuse and neglect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76ADA2" w14:textId="7D3DD8D7" w:rsidR="004679CC" w:rsidRPr="00257E42" w:rsidRDefault="001F7EB1" w:rsidP="00FF65D5">
            <w:pPr>
              <w:rPr>
                <w:color w:val="595959"/>
              </w:rPr>
            </w:pPr>
            <w:r w:rsidRPr="00257E42">
              <w:rPr>
                <w:color w:val="595959"/>
              </w:rPr>
              <w:t xml:space="preserve">State </w:t>
            </w:r>
            <w:r>
              <w:rPr>
                <w:color w:val="595959"/>
              </w:rPr>
              <w:t>or County Child Welfare Dep</w:t>
            </w:r>
            <w:r w:rsidR="00FF65D5">
              <w:rPr>
                <w:color w:val="595959"/>
              </w:rPr>
              <w:t>ar</w:t>
            </w:r>
            <w:r>
              <w:rPr>
                <w:color w:val="595959"/>
              </w:rPr>
              <w:t>t</w:t>
            </w:r>
            <w:r w:rsidR="00FF65D5">
              <w:rPr>
                <w:color w:val="595959"/>
              </w:rPr>
              <w:t>ment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1F0078D" w14:textId="77777777" w:rsidR="004679CC" w:rsidRPr="00257E42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40841E92" w14:textId="77777777" w:rsidTr="008D382B">
        <w:trPr>
          <w:trHeight w:val="864"/>
          <w:jc w:val="center"/>
        </w:trPr>
        <w:tc>
          <w:tcPr>
            <w:tcW w:w="2160" w:type="dxa"/>
            <w:shd w:val="clear" w:color="auto" w:fill="auto"/>
          </w:tcPr>
          <w:p w14:paraId="3788CB9F" w14:textId="77777777" w:rsidR="00257E42" w:rsidRPr="00257E42" w:rsidRDefault="002B2B46" w:rsidP="008D382B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>
              <w:rPr>
                <w:rFonts w:eastAsia="ヒラギノ角ゴ Pro W3"/>
                <w:b/>
                <w:color w:val="595959"/>
                <w:szCs w:val="20"/>
              </w:rPr>
              <w:t>Involvement with Juvenile Justice System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5F85992" w14:textId="77777777" w:rsidR="00257E42" w:rsidRDefault="002B2B46" w:rsidP="008D382B">
            <w:pPr>
              <w:rPr>
                <w:color w:val="595959"/>
              </w:rPr>
            </w:pPr>
            <w:r>
              <w:rPr>
                <w:color w:val="595959"/>
              </w:rPr>
              <w:t>Youth on probation</w:t>
            </w:r>
          </w:p>
          <w:p w14:paraId="73910277" w14:textId="77777777" w:rsidR="00E46369" w:rsidRPr="00257E42" w:rsidRDefault="00E46369" w:rsidP="008D382B">
            <w:pPr>
              <w:rPr>
                <w:color w:val="595959"/>
              </w:rPr>
            </w:pPr>
            <w:r>
              <w:rPr>
                <w:color w:val="595959"/>
              </w:rPr>
              <w:t>Number of youth in residential placements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187390" w14:textId="48B499D4" w:rsidR="00257E42" w:rsidRPr="00257E42" w:rsidRDefault="00257E42" w:rsidP="00E46369">
            <w:pPr>
              <w:rPr>
                <w:color w:val="595959"/>
              </w:rPr>
            </w:pPr>
            <w:r w:rsidRPr="00257E42">
              <w:rPr>
                <w:color w:val="595959"/>
              </w:rPr>
              <w:t xml:space="preserve">State </w:t>
            </w:r>
            <w:r w:rsidR="00E46369">
              <w:rPr>
                <w:color w:val="595959"/>
              </w:rPr>
              <w:t>or County Juvenile Justice Dep</w:t>
            </w:r>
            <w:r w:rsidR="00FF65D5">
              <w:rPr>
                <w:color w:val="595959"/>
              </w:rPr>
              <w:t>artment</w:t>
            </w:r>
            <w:r w:rsidR="00E46369">
              <w:rPr>
                <w:color w:val="595959"/>
              </w:rPr>
              <w:t xml:space="preserve"> </w:t>
            </w:r>
            <w:r w:rsidR="00BC1A2D">
              <w:rPr>
                <w:color w:val="595959"/>
              </w:rPr>
              <w:t>or Juvenile Courts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4E16172E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3804AB46" w14:textId="77777777" w:rsidTr="008D382B">
        <w:trPr>
          <w:trHeight w:val="864"/>
          <w:jc w:val="center"/>
        </w:trPr>
        <w:tc>
          <w:tcPr>
            <w:tcW w:w="2160" w:type="dxa"/>
            <w:shd w:val="clear" w:color="auto" w:fill="auto"/>
          </w:tcPr>
          <w:p w14:paraId="27959F3B" w14:textId="77777777" w:rsidR="004679CC" w:rsidRDefault="001F7EB1" w:rsidP="008D382B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>
              <w:rPr>
                <w:rFonts w:eastAsia="ヒラギノ角ゴ Pro W3"/>
                <w:b/>
                <w:color w:val="595959"/>
                <w:szCs w:val="20"/>
              </w:rPr>
              <w:t>Involvement with Juvenile Justice System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0A6C42" w14:textId="77777777" w:rsidR="004679CC" w:rsidRDefault="004679CC" w:rsidP="008D382B">
            <w:pPr>
              <w:rPr>
                <w:color w:val="595959"/>
              </w:rPr>
            </w:pPr>
            <w:r>
              <w:rPr>
                <w:color w:val="595959"/>
              </w:rPr>
              <w:t>Teen violence arrest rates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4E7E0F0" w14:textId="537E3F3E" w:rsidR="004679CC" w:rsidRPr="00257E42" w:rsidRDefault="001F7EB1" w:rsidP="00E46369">
            <w:pPr>
              <w:rPr>
                <w:color w:val="595959"/>
              </w:rPr>
            </w:pPr>
            <w:r w:rsidRPr="00257E42">
              <w:rPr>
                <w:color w:val="595959"/>
              </w:rPr>
              <w:t xml:space="preserve">State </w:t>
            </w:r>
            <w:r>
              <w:rPr>
                <w:color w:val="595959"/>
              </w:rPr>
              <w:t>or County Juvenile Justice Dep</w:t>
            </w:r>
            <w:r w:rsidR="00FF65D5">
              <w:rPr>
                <w:color w:val="595959"/>
              </w:rPr>
              <w:t>artment</w:t>
            </w:r>
            <w:r>
              <w:rPr>
                <w:color w:val="595959"/>
              </w:rPr>
              <w:t xml:space="preserve"> or Juvenile Courts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5EAD4388" w14:textId="77777777" w:rsidR="004679CC" w:rsidRPr="00257E42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4679CC" w:rsidRPr="00257E42" w14:paraId="703AE814" w14:textId="77777777" w:rsidTr="008D382B">
        <w:trPr>
          <w:trHeight w:val="864"/>
          <w:jc w:val="center"/>
        </w:trPr>
        <w:tc>
          <w:tcPr>
            <w:tcW w:w="2160" w:type="dxa"/>
            <w:shd w:val="clear" w:color="auto" w:fill="auto"/>
          </w:tcPr>
          <w:p w14:paraId="262B615E" w14:textId="77777777" w:rsidR="004679CC" w:rsidRDefault="001F7EB1" w:rsidP="008D382B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>
              <w:rPr>
                <w:rFonts w:eastAsia="ヒラギノ角ゴ Pro W3"/>
                <w:b/>
                <w:color w:val="595959"/>
                <w:szCs w:val="20"/>
              </w:rPr>
              <w:lastRenderedPageBreak/>
              <w:t>Involvement with Juvenile Justice System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430AD1" w14:textId="77777777" w:rsidR="004679CC" w:rsidRDefault="004679CC" w:rsidP="008D382B">
            <w:pPr>
              <w:rPr>
                <w:color w:val="595959"/>
              </w:rPr>
            </w:pPr>
            <w:r>
              <w:rPr>
                <w:color w:val="595959"/>
              </w:rPr>
              <w:t>Juvenile alcohol and drug-related arrest rates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02F28E" w14:textId="0185BACB" w:rsidR="004679CC" w:rsidRPr="00257E42" w:rsidRDefault="001F7EB1" w:rsidP="004B74E6">
            <w:pPr>
              <w:rPr>
                <w:color w:val="595959"/>
              </w:rPr>
            </w:pPr>
            <w:r w:rsidRPr="00257E42">
              <w:rPr>
                <w:color w:val="595959"/>
              </w:rPr>
              <w:t xml:space="preserve">State </w:t>
            </w:r>
            <w:r>
              <w:rPr>
                <w:color w:val="595959"/>
              </w:rPr>
              <w:t xml:space="preserve">or County Juvenile Justice </w:t>
            </w:r>
            <w:proofErr w:type="spellStart"/>
            <w:r>
              <w:rPr>
                <w:color w:val="595959"/>
              </w:rPr>
              <w:t>Dept</w:t>
            </w:r>
            <w:r w:rsidR="004B74E6">
              <w:rPr>
                <w:color w:val="595959"/>
              </w:rPr>
              <w:t>artment</w:t>
            </w:r>
            <w:proofErr w:type="spellEnd"/>
            <w:r>
              <w:rPr>
                <w:color w:val="595959"/>
              </w:rPr>
              <w:t xml:space="preserve"> or Juvenile Courts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28200A61" w14:textId="77777777" w:rsidR="004679CC" w:rsidRPr="00257E42" w:rsidRDefault="004679CC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  <w:tr w:rsidR="00257E42" w:rsidRPr="00257E42" w14:paraId="07DC08B9" w14:textId="77777777" w:rsidTr="008D382B">
        <w:trPr>
          <w:trHeight w:val="755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EE633FD" w14:textId="77777777" w:rsidR="00257E42" w:rsidRPr="00257E42" w:rsidRDefault="002B2B46" w:rsidP="008D382B">
            <w:pPr>
              <w:spacing w:before="80" w:after="320" w:line="288" w:lineRule="auto"/>
              <w:rPr>
                <w:rFonts w:eastAsia="ヒラギノ角ゴ Pro W3"/>
                <w:b/>
                <w:color w:val="595959"/>
                <w:szCs w:val="20"/>
              </w:rPr>
            </w:pPr>
            <w:r>
              <w:rPr>
                <w:rFonts w:eastAsia="ヒラギノ角ゴ Pro W3"/>
                <w:b/>
                <w:color w:val="595959"/>
                <w:szCs w:val="20"/>
              </w:rPr>
              <w:t>Housing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539F8" w14:textId="77777777" w:rsidR="00257E42" w:rsidRDefault="006F4020" w:rsidP="008D382B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Family income vs. median rental rates</w:t>
            </w:r>
          </w:p>
          <w:p w14:paraId="466D9664" w14:textId="77777777" w:rsidR="006F4020" w:rsidRDefault="006F4020" w:rsidP="006F4020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 xml:space="preserve">Housing availability; public housing availability </w:t>
            </w:r>
          </w:p>
          <w:p w14:paraId="752F561D" w14:textId="0167D235" w:rsidR="00E945B9" w:rsidRPr="00257E42" w:rsidRDefault="00E945B9" w:rsidP="00A27ABF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Ratio of famil</w:t>
            </w:r>
            <w:r w:rsidR="00041556">
              <w:rPr>
                <w:rFonts w:eastAsia="Times New Roman"/>
                <w:color w:val="595959"/>
                <w:lang w:bidi="en-US"/>
              </w:rPr>
              <w:t>i</w:t>
            </w:r>
            <w:r>
              <w:rPr>
                <w:rFonts w:eastAsia="Times New Roman"/>
                <w:color w:val="595959"/>
                <w:lang w:bidi="en-US"/>
              </w:rPr>
              <w:t xml:space="preserve">es who rent their home </w:t>
            </w:r>
            <w:r w:rsidR="00A27ABF">
              <w:rPr>
                <w:rFonts w:eastAsia="Times New Roman"/>
                <w:color w:val="595959"/>
                <w:lang w:bidi="en-US"/>
              </w:rPr>
              <w:t>to</w:t>
            </w:r>
            <w:r>
              <w:rPr>
                <w:rFonts w:eastAsia="Times New Roman"/>
                <w:color w:val="595959"/>
                <w:lang w:bidi="en-US"/>
              </w:rPr>
              <w:t xml:space="preserve"> those who own their home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79251" w14:textId="77777777" w:rsidR="00257E42" w:rsidRPr="00257E42" w:rsidRDefault="002B2B46" w:rsidP="008D382B">
            <w:pPr>
              <w:rPr>
                <w:rFonts w:eastAsia="Times New Roman"/>
                <w:color w:val="595959"/>
                <w:lang w:bidi="en-US"/>
              </w:rPr>
            </w:pPr>
            <w:r>
              <w:rPr>
                <w:rFonts w:eastAsia="Times New Roman"/>
                <w:color w:val="595959"/>
                <w:lang w:bidi="en-US"/>
              </w:rPr>
              <w:t>Local Housing Authority or Federal Department of Housing and Urban Development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509F7" w14:textId="77777777" w:rsidR="00257E42" w:rsidRPr="00257E42" w:rsidRDefault="00257E42" w:rsidP="008D382B">
            <w:pPr>
              <w:rPr>
                <w:rFonts w:eastAsia="Times New Roman"/>
                <w:color w:val="595959"/>
                <w:lang w:bidi="en-US"/>
              </w:rPr>
            </w:pPr>
          </w:p>
        </w:tc>
      </w:tr>
    </w:tbl>
    <w:p w14:paraId="0F3AC73B" w14:textId="77777777" w:rsidR="00257E42" w:rsidRPr="00257E42" w:rsidRDefault="00257E42" w:rsidP="0076562E">
      <w:pPr>
        <w:rPr>
          <w:color w:val="595959"/>
        </w:rPr>
      </w:pPr>
    </w:p>
    <w:p w14:paraId="3B4C134B" w14:textId="70C5D36A" w:rsidR="00257E42" w:rsidRPr="00257E42" w:rsidRDefault="00257E42" w:rsidP="00195652">
      <w:pPr>
        <w:spacing w:before="80" w:after="320" w:line="288" w:lineRule="auto"/>
        <w:rPr>
          <w:color w:val="595959"/>
        </w:rPr>
      </w:pPr>
      <w:r w:rsidRPr="00257E42">
        <w:rPr>
          <w:rFonts w:eastAsia="ヒラギノ角ゴ Pro W3"/>
          <w:color w:val="595959"/>
          <w:szCs w:val="20"/>
        </w:rPr>
        <w:t>Data Manager:</w:t>
      </w:r>
      <w:r>
        <w:rPr>
          <w:rFonts w:eastAsia="ヒラギノ角ゴ Pro W3"/>
          <w:color w:val="595959"/>
          <w:szCs w:val="20"/>
        </w:rPr>
        <w:t xml:space="preserve"> </w:t>
      </w:r>
      <w:r w:rsidRPr="00257E42">
        <w:rPr>
          <w:rFonts w:eastAsia="ヒラギノ角ゴ Pro W3"/>
          <w:color w:val="595959"/>
          <w:szCs w:val="20"/>
        </w:rPr>
        <w:t>_________________________________________________________</w:t>
      </w:r>
    </w:p>
    <w:sectPr w:rsidR="00257E42" w:rsidRPr="00257E42" w:rsidSect="00E644DC">
      <w:pgSz w:w="12240" w:h="15840"/>
      <w:pgMar w:top="1800" w:right="1872" w:bottom="108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Times New Roman"/>
    <w:panose1 w:val="02000503060000020003"/>
    <w:charset w:val="00"/>
    <w:family w:val="auto"/>
    <w:pitch w:val="variable"/>
    <w:sig w:usb0="800000AF" w:usb1="40000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nockout 30 Junior Welterwt">
    <w:altName w:val="Arial"/>
    <w:panose1 w:val="00000000000000000000"/>
    <w:charset w:val="00"/>
    <w:family w:val="modern"/>
    <w:notTrueType/>
    <w:pitch w:val="variable"/>
    <w:sig w:usb0="A00000FF" w:usb1="5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4BF"/>
    <w:multiLevelType w:val="hybridMultilevel"/>
    <w:tmpl w:val="876A7438"/>
    <w:lvl w:ilvl="0" w:tplc="4D9AA08A">
      <w:start w:val="1"/>
      <w:numFmt w:val="bullet"/>
      <w:pStyle w:val="bulletitemsquare"/>
      <w:lvlText w:val=""/>
      <w:lvlJc w:val="left"/>
      <w:pPr>
        <w:ind w:left="1080" w:hanging="360"/>
      </w:pPr>
      <w:rPr>
        <w:rFonts w:ascii="Wingdings" w:hAnsi="Wingdings" w:hint="default"/>
        <w:color w:val="595959" w:themeColor="tex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82896"/>
    <w:multiLevelType w:val="hybridMultilevel"/>
    <w:tmpl w:val="5A8AC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4E7948"/>
    <w:multiLevelType w:val="hybridMultilevel"/>
    <w:tmpl w:val="2CA8A9F8"/>
    <w:lvl w:ilvl="0" w:tplc="EEB675E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AF3E3A"/>
    <w:multiLevelType w:val="multilevel"/>
    <w:tmpl w:val="E09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05F26"/>
    <w:multiLevelType w:val="hybridMultilevel"/>
    <w:tmpl w:val="8D4C2604"/>
    <w:lvl w:ilvl="0" w:tplc="EE70DEA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DA5521" w:themeColor="accent3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E30700"/>
    <w:multiLevelType w:val="hybridMultilevel"/>
    <w:tmpl w:val="ABAC7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383A"/>
    <w:multiLevelType w:val="hybridMultilevel"/>
    <w:tmpl w:val="AF34F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38"/>
    <w:rsid w:val="000248B1"/>
    <w:rsid w:val="00041556"/>
    <w:rsid w:val="00077034"/>
    <w:rsid w:val="000A0614"/>
    <w:rsid w:val="000F3295"/>
    <w:rsid w:val="00165ED6"/>
    <w:rsid w:val="00195652"/>
    <w:rsid w:val="001B53A2"/>
    <w:rsid w:val="001F7EB1"/>
    <w:rsid w:val="002003CA"/>
    <w:rsid w:val="00203B43"/>
    <w:rsid w:val="0024453F"/>
    <w:rsid w:val="00257E42"/>
    <w:rsid w:val="00263FC6"/>
    <w:rsid w:val="002663C7"/>
    <w:rsid w:val="00275E79"/>
    <w:rsid w:val="002B2B46"/>
    <w:rsid w:val="002B5583"/>
    <w:rsid w:val="00360FF5"/>
    <w:rsid w:val="003B54A6"/>
    <w:rsid w:val="004252A0"/>
    <w:rsid w:val="004679CC"/>
    <w:rsid w:val="00492AC0"/>
    <w:rsid w:val="004B74E6"/>
    <w:rsid w:val="00526CE6"/>
    <w:rsid w:val="00530FA9"/>
    <w:rsid w:val="00547AD9"/>
    <w:rsid w:val="005D1E99"/>
    <w:rsid w:val="006314F2"/>
    <w:rsid w:val="00676F98"/>
    <w:rsid w:val="0068244E"/>
    <w:rsid w:val="006E48DA"/>
    <w:rsid w:val="006F1DF0"/>
    <w:rsid w:val="006F4020"/>
    <w:rsid w:val="00720368"/>
    <w:rsid w:val="007208A9"/>
    <w:rsid w:val="00730A8C"/>
    <w:rsid w:val="0076562E"/>
    <w:rsid w:val="007A78DB"/>
    <w:rsid w:val="00805A06"/>
    <w:rsid w:val="008426CC"/>
    <w:rsid w:val="00886DCF"/>
    <w:rsid w:val="008B0E2F"/>
    <w:rsid w:val="008B2008"/>
    <w:rsid w:val="008C73FC"/>
    <w:rsid w:val="008D1CF5"/>
    <w:rsid w:val="008D37BE"/>
    <w:rsid w:val="00903769"/>
    <w:rsid w:val="009716CE"/>
    <w:rsid w:val="009A0506"/>
    <w:rsid w:val="009B22EE"/>
    <w:rsid w:val="00A27ABF"/>
    <w:rsid w:val="00A33AB1"/>
    <w:rsid w:val="00A422C3"/>
    <w:rsid w:val="00A62901"/>
    <w:rsid w:val="00A62D00"/>
    <w:rsid w:val="00A64938"/>
    <w:rsid w:val="00A66862"/>
    <w:rsid w:val="00A907B6"/>
    <w:rsid w:val="00AF1863"/>
    <w:rsid w:val="00AF2874"/>
    <w:rsid w:val="00AF7EAF"/>
    <w:rsid w:val="00B4230D"/>
    <w:rsid w:val="00BC1A2D"/>
    <w:rsid w:val="00BE7890"/>
    <w:rsid w:val="00D63894"/>
    <w:rsid w:val="00D72451"/>
    <w:rsid w:val="00DB3E11"/>
    <w:rsid w:val="00DE2CE7"/>
    <w:rsid w:val="00E46369"/>
    <w:rsid w:val="00E644DC"/>
    <w:rsid w:val="00E92257"/>
    <w:rsid w:val="00E945B9"/>
    <w:rsid w:val="00F53EB7"/>
    <w:rsid w:val="00F615CD"/>
    <w:rsid w:val="00FA7E38"/>
    <w:rsid w:val="00FB44F4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E3EB7F"/>
  <w15:docId w15:val="{8B7C6652-A836-4FC5-A1B5-1C58495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CA"/>
    <w:pPr>
      <w:spacing w:after="0" w:line="300" w:lineRule="exact"/>
    </w:pPr>
    <w:rPr>
      <w:rFonts w:ascii="Arial" w:hAnsi="Arial" w:cs="Arial"/>
      <w:sz w:val="19"/>
      <w:szCs w:val="19"/>
    </w:rPr>
  </w:style>
  <w:style w:type="paragraph" w:styleId="Heading1">
    <w:name w:val="heading 1"/>
    <w:next w:val="Normal"/>
    <w:link w:val="Heading1Char"/>
    <w:autoRedefine/>
    <w:uiPriority w:val="9"/>
    <w:qFormat/>
    <w:rsid w:val="00A33AB1"/>
    <w:pPr>
      <w:keepNext/>
      <w:keepLines/>
      <w:spacing w:after="240" w:line="410" w:lineRule="exact"/>
      <w:outlineLvl w:val="0"/>
    </w:pPr>
    <w:rPr>
      <w:rFonts w:ascii="Arial" w:eastAsia="MS Gothic" w:hAnsi="Arial" w:cs="Arial"/>
      <w:color w:val="595959" w:themeColor="text2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44F4"/>
    <w:pPr>
      <w:keepNext/>
      <w:tabs>
        <w:tab w:val="left" w:pos="200"/>
        <w:tab w:val="left" w:pos="460"/>
      </w:tabs>
      <w:autoSpaceDE w:val="0"/>
      <w:autoSpaceDN w:val="0"/>
      <w:adjustRightInd w:val="0"/>
      <w:spacing w:before="100" w:after="300"/>
      <w:textAlignment w:val="center"/>
      <w:outlineLvl w:val="1"/>
    </w:pPr>
    <w:rPr>
      <w:rFonts w:eastAsia="Arial"/>
      <w:color w:val="DA5521" w:themeColor="accent3"/>
      <w:spacing w:val="4"/>
      <w:sz w:val="21"/>
      <w:szCs w:val="2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1E99"/>
    <w:pPr>
      <w:keepNext/>
      <w:widowControl w:val="0"/>
      <w:tabs>
        <w:tab w:val="left" w:pos="200"/>
        <w:tab w:val="left" w:pos="460"/>
      </w:tabs>
      <w:autoSpaceDE w:val="0"/>
      <w:autoSpaceDN w:val="0"/>
      <w:adjustRightInd w:val="0"/>
      <w:spacing w:after="180" w:line="300" w:lineRule="atLeast"/>
      <w:textAlignment w:val="center"/>
      <w:outlineLvl w:val="2"/>
    </w:pPr>
    <w:rPr>
      <w:rFonts w:eastAsia="Arial"/>
      <w:b/>
      <w:color w:val="000000" w:themeColor="text1"/>
      <w:spacing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AB1"/>
    <w:rPr>
      <w:rFonts w:ascii="Arial" w:eastAsia="MS Gothic" w:hAnsi="Arial" w:cs="Arial"/>
      <w:color w:val="595959" w:themeColor="text2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44F4"/>
    <w:rPr>
      <w:rFonts w:ascii="Arial" w:eastAsia="Arial" w:hAnsi="Arial" w:cs="Arial"/>
      <w:color w:val="DA5521" w:themeColor="accent3"/>
      <w:spacing w:val="4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D1E99"/>
    <w:rPr>
      <w:rFonts w:ascii="Arial" w:eastAsia="Arial" w:hAnsi="Arial" w:cs="Arial"/>
      <w:b/>
      <w:color w:val="000000" w:themeColor="text1"/>
      <w:spacing w:val="2"/>
      <w:sz w:val="20"/>
      <w:szCs w:val="20"/>
    </w:rPr>
  </w:style>
  <w:style w:type="paragraph" w:customStyle="1" w:styleId="BulletItem">
    <w:name w:val="Bullet Item"/>
    <w:basedOn w:val="ListBullet"/>
    <w:link w:val="BulletItemChar"/>
    <w:autoRedefine/>
    <w:qFormat/>
    <w:rsid w:val="00A422C3"/>
  </w:style>
  <w:style w:type="paragraph" w:styleId="ListParagraph">
    <w:name w:val="List Paragraph"/>
    <w:basedOn w:val="Normal"/>
    <w:link w:val="ListParagraphChar"/>
    <w:uiPriority w:val="34"/>
    <w:qFormat/>
    <w:rsid w:val="005D1E99"/>
    <w:pPr>
      <w:numPr>
        <w:numId w:val="5"/>
      </w:numPr>
      <w:ind w:left="360"/>
      <w:contextualSpacing/>
    </w:pPr>
    <w:rPr>
      <w:rFonts w:eastAsia="Arial" w:cs="Times New Roman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208A9"/>
    <w:rPr>
      <w:rFonts w:ascii="AGaramond" w:hAnsi="AGaramond"/>
      <w:color w:val="005293"/>
      <w:sz w:val="22"/>
      <w:szCs w:val="22"/>
      <w:u w:val="none"/>
    </w:rPr>
  </w:style>
  <w:style w:type="character" w:customStyle="1" w:styleId="Stylebulletleadincopy">
    <w:name w:val="Style bullet lead in copy"/>
    <w:basedOn w:val="DefaultParagraphFont"/>
    <w:qFormat/>
    <w:rsid w:val="00A422C3"/>
    <w:rPr>
      <w:rFonts w:ascii="Arial" w:hAnsi="Arial"/>
      <w:b/>
      <w:sz w:val="19"/>
    </w:rPr>
  </w:style>
  <w:style w:type="paragraph" w:styleId="ListBullet">
    <w:name w:val="List Bullet"/>
    <w:basedOn w:val="ListParagraph"/>
    <w:link w:val="ListBulletChar"/>
    <w:autoRedefine/>
    <w:uiPriority w:val="99"/>
    <w:unhideWhenUsed/>
    <w:qFormat/>
    <w:rsid w:val="0076562E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422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22C3"/>
    <w:rPr>
      <w:rFonts w:ascii="Arial" w:hAnsi="Arial" w:cs="Arial"/>
      <w:i/>
      <w:iCs/>
      <w:color w:val="404040" w:themeColor="text1" w:themeTint="BF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A422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astheadtitle">
    <w:name w:val="masthead title"/>
    <w:basedOn w:val="Title"/>
    <w:qFormat/>
    <w:rsid w:val="00A422C3"/>
    <w:rPr>
      <w:color w:val="FFFFFF" w:themeColor="background1"/>
      <w:sz w:val="28"/>
      <w:szCs w:val="28"/>
    </w:rPr>
  </w:style>
  <w:style w:type="paragraph" w:customStyle="1" w:styleId="url">
    <w:name w:val="url"/>
    <w:basedOn w:val="Normal"/>
    <w:link w:val="urlChar"/>
    <w:autoRedefine/>
    <w:qFormat/>
    <w:rsid w:val="00BE7890"/>
    <w:rPr>
      <w:color w:val="005293" w:themeColor="accent5"/>
    </w:rPr>
  </w:style>
  <w:style w:type="character" w:customStyle="1" w:styleId="urlChar">
    <w:name w:val="url Char"/>
    <w:basedOn w:val="DefaultParagraphFont"/>
    <w:link w:val="url"/>
    <w:rsid w:val="00BE7890"/>
    <w:rPr>
      <w:rFonts w:ascii="Arial" w:hAnsi="Arial" w:cs="Arial"/>
      <w:color w:val="005293" w:themeColor="accent5"/>
      <w:sz w:val="19"/>
      <w:szCs w:val="19"/>
    </w:rPr>
  </w:style>
  <w:style w:type="paragraph" w:customStyle="1" w:styleId="bulletitemsquare">
    <w:name w:val="bullet item square"/>
    <w:basedOn w:val="BulletItem"/>
    <w:link w:val="bulletitemsquareChar"/>
    <w:qFormat/>
    <w:rsid w:val="0076562E"/>
    <w:pPr>
      <w:numPr>
        <w:numId w:val="4"/>
      </w:num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1E99"/>
    <w:rPr>
      <w:rFonts w:ascii="Arial" w:eastAsia="Arial" w:hAnsi="Arial" w:cs="Times New Roman"/>
      <w:color w:val="000000" w:themeColor="text1"/>
      <w:sz w:val="19"/>
      <w:szCs w:val="19"/>
    </w:rPr>
  </w:style>
  <w:style w:type="character" w:customStyle="1" w:styleId="ListBulletChar">
    <w:name w:val="List Bullet Char"/>
    <w:basedOn w:val="ListParagraphChar"/>
    <w:link w:val="ListBullet"/>
    <w:uiPriority w:val="99"/>
    <w:rsid w:val="0076562E"/>
    <w:rPr>
      <w:rFonts w:ascii="Arial" w:eastAsia="Arial" w:hAnsi="Arial" w:cs="Times New Roman"/>
      <w:color w:val="000000" w:themeColor="text1"/>
      <w:sz w:val="19"/>
      <w:szCs w:val="19"/>
    </w:rPr>
  </w:style>
  <w:style w:type="character" w:customStyle="1" w:styleId="BulletItemChar">
    <w:name w:val="Bullet Item Char"/>
    <w:basedOn w:val="ListBulletChar"/>
    <w:link w:val="BulletItem"/>
    <w:rsid w:val="0076562E"/>
    <w:rPr>
      <w:rFonts w:ascii="Arial" w:eastAsia="Arial" w:hAnsi="Arial" w:cs="Times New Roman"/>
      <w:color w:val="000000" w:themeColor="text1"/>
      <w:sz w:val="19"/>
      <w:szCs w:val="19"/>
    </w:rPr>
  </w:style>
  <w:style w:type="character" w:customStyle="1" w:styleId="bulletitemsquareChar">
    <w:name w:val="bullet item square Char"/>
    <w:basedOn w:val="BulletItemChar"/>
    <w:link w:val="bulletitemsquare"/>
    <w:rsid w:val="0076562E"/>
    <w:rPr>
      <w:rFonts w:ascii="Arial" w:eastAsia="Arial" w:hAnsi="Arial" w:cs="Times New Roman"/>
      <w:color w:val="000000" w:themeColor="text1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5B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5B9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center.kidscoun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ECF_colors_8-16-12">
      <a:dk1>
        <a:srgbClr val="000000"/>
      </a:dk1>
      <a:lt1>
        <a:srgbClr val="FFFFFF"/>
      </a:lt1>
      <a:dk2>
        <a:srgbClr val="595959"/>
      </a:dk2>
      <a:lt2>
        <a:srgbClr val="EDE4CA"/>
      </a:lt2>
      <a:accent1>
        <a:srgbClr val="97A825"/>
      </a:accent1>
      <a:accent2>
        <a:srgbClr val="849120"/>
      </a:accent2>
      <a:accent3>
        <a:srgbClr val="DA5521"/>
      </a:accent3>
      <a:accent4>
        <a:srgbClr val="E9AF1D"/>
      </a:accent4>
      <a:accent5>
        <a:srgbClr val="005293"/>
      </a:accent5>
      <a:accent6>
        <a:srgbClr val="5A5284"/>
      </a:accent6>
      <a:hlink>
        <a:srgbClr val="005293"/>
      </a:hlink>
      <a:folHlink>
        <a:srgbClr val="0665A4"/>
      </a:folHlink>
    </a:clrScheme>
    <a:fontScheme name="GLR Knockout">
      <a:majorFont>
        <a:latin typeface="Knockout 30 Junior Welterwt"/>
        <a:ea typeface=""/>
        <a:cs typeface=""/>
      </a:majorFont>
      <a:minorFont>
        <a:latin typeface="A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 Steel</dc:creator>
  <cp:keywords/>
  <dc:description/>
  <cp:lastModifiedBy>Kate Shatzkin</cp:lastModifiedBy>
  <cp:revision>5</cp:revision>
  <cp:lastPrinted>2016-04-11T22:58:00Z</cp:lastPrinted>
  <dcterms:created xsi:type="dcterms:W3CDTF">2016-04-12T14:20:00Z</dcterms:created>
  <dcterms:modified xsi:type="dcterms:W3CDTF">2016-04-12T14:28:00Z</dcterms:modified>
</cp:coreProperties>
</file>